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E0" w:rsidRDefault="00435C6C" w:rsidP="00CD3BE0">
      <w:r>
        <w:fldChar w:fldCharType="begin"/>
      </w:r>
      <w:r>
        <w:instrText xml:space="preserve"> HYPERLINK "</w:instrText>
      </w:r>
      <w:r w:rsidRPr="00435C6C">
        <w:instrText>http://www.comciencia.br/comciencia/?section=8&amp;tipo=resenha&amp;edicao=85</w:instrText>
      </w:r>
      <w:r>
        <w:instrText xml:space="preserve">" </w:instrText>
      </w:r>
      <w:r>
        <w:fldChar w:fldCharType="separate"/>
      </w:r>
      <w:r w:rsidRPr="00CE693D">
        <w:rPr>
          <w:rStyle w:val="Hyperlink"/>
        </w:rPr>
        <w:t>http://www.comciencia.br/comciencia/?section=8&amp;tipo=resenha&amp;edicao=85</w:t>
      </w:r>
      <w:r>
        <w:fldChar w:fldCharType="end"/>
      </w:r>
      <w:r>
        <w:t xml:space="preserve"> </w:t>
      </w:r>
      <w:r w:rsidR="00CD3BE0">
        <w:t>(acesso em 24/02/2013)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0"/>
      </w:tblGrid>
      <w:tr w:rsidR="00CD3BE0" w:rsidTr="00CD3B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0"/>
            </w:tblGrid>
            <w:tr w:rsidR="00CD3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2473"/>
                  </w:tblGrid>
                  <w:tr w:rsidR="00CD3BE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Resenhas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207770" cy="1759585"/>
                              <wp:effectExtent l="19050" t="0" r="0" b="0"/>
                              <wp:docPr id="1" name="Imagem 1" descr="http://www.comciencia.br/comciencia/ver.php?table=form_5&amp;field=foto_do_livro&amp;id=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omciencia.br/comciencia/ver.php?table=form_5&amp;field=foto_do_livro&amp;id=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7770" cy="1759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3BE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Pr="00CD3BE0" w:rsidRDefault="00CD3BE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D3BE0">
                          <w:rPr>
                            <w:b/>
                            <w:sz w:val="28"/>
                            <w:szCs w:val="28"/>
                          </w:rPr>
                          <w:t>O que há por trás da obesidade infantil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3BE0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spacing w:line="15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8890" cy="8890"/>
                              <wp:effectExtent l="0" t="0" r="0" b="0"/>
                              <wp:docPr id="2" name="Imagem 2" descr="http://www.comciencia.br/comciencia/template/imagens/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omciencia.br/comciencia/template/imagens/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3BE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Documentário apresenta questões relacionadas à obesidade infantil, mostrando a informação como caminho para reverter o quadro atual.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3BE0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spacing w:line="15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8890" cy="8890"/>
                              <wp:effectExtent l="0" t="0" r="0" b="0"/>
                              <wp:docPr id="3" name="Imagem 3" descr="http://www.comciencia.br/comciencia/template/imagens/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omciencia.br/comciencia/template/imagens/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3BE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Por Monique Lopes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3BE0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spacing w:line="15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8890" cy="8890"/>
                              <wp:effectExtent l="0" t="0" r="0" b="0"/>
                              <wp:docPr id="4" name="Imagem 4" descr="http://www.comciencia.br/comciencia/template/imagens/spac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omciencia.br/comciencia/template/imagens/spac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BE0" w:rsidRDefault="00CD3BE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3BE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D3BE0" w:rsidRDefault="00CD3BE0">
                        <w:r>
                          <w:t xml:space="preserve">10/02/2013 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33% das crianças brasileiras estão hoje acima do peso. É essa a realidade trazida ao telespectador pelo documentário 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 xml:space="preserve">Muito além do peso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(2012), de direção de Estela Renner e produção executiva de Marcos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Nisti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O filme intercala infográficos que revelam dados sobre a obesidade infantil no Brasil e no mundo com depoimentos de especialistas – como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Ann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Cooper, chefe de cozinha e diretora do </w:t>
                        </w:r>
                        <w:hyperlink r:id="rId6" w:tgtFrame="_blank" w:history="1"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Food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Project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e Walmir Coutinho, médico endocrinologista e presidente da </w:t>
                        </w:r>
                        <w:hyperlink r:id="rId7" w:tgtFrame="_blank" w:history="1"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International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Association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for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Study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Obesity</w:t>
                          </w:r>
                          <w:proofErr w:type="spellEnd"/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– e de famílias cujos filhos sofrem de colesterol alto e outros problemas de saúde causados pelo sobrepeso. Não é a primeira vez que a dupla trabalha em conjunto. Em 2008 Estela 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Nisti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estiveram por trás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do média-metragem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Criança, a alma do negócio,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que faz duras críticas à publicidade voltada para o público infantil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 mostra a relação dessa publicidade com o aumento de sobrepeso na infância. 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Ex-estudante de nutrição, Estela demonstra desde seu primeiro documentário sua preocupação com educação alimentar. Trechos de 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 xml:space="preserve">Criança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mostram meninos e meninas incapazes de reconhecer legumes e frutas, ao mesmo tempo em que reconhecem de pronto a logomarca de multinacionais responsáveis pela produção e distribuição de alimentos não saudáveis. A “brincadeira” do “qual é a fruta?” é repetida em 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Muito além do peso,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 dessa vez o contraponto são bolachas e outras guloseimas que todos os entrevistados sabem o nome. 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 documentário começa apresentando o dia a dia de Yan, um garoto de quatro anos com problemas no coração e pulmão, que convence os pais, com choro e se jogando no chão, a lhe darem batatas fritas ao invés do arroz e feijão do almoço. 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Ao explorar as causas da obesidade, volta a questionar publicitários, mas também concede a eles a oportunidade de se explicar, quase um direito de resposta. Em determinada parte do filme a autoridade dos pais é posta em cheque por Adilson Xavier, publicitário que, em favor das grandes empresas, argumenta que, se o produto é registrado e autorizado pelo órgão responsável, proibir a publicidade não faz sentido: “Dizer que a televisão compete com a autoridade dos pais é assumir um fracasso absoluto dos pais”, afirma. 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Mas a grande vilã, apontada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 todo momento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pelo longa, é, no fim das contas, a falta de informação. Nem filhos nem pais demonstram conhecimento sobre o que e o quanto podem fazer mal os alimentos industrializados. Jamie Oliver, chefe de cozinha britânico que faz diversas aparições no documentário com seu discurso anti </w:t>
                        </w:r>
                        <w:proofErr w:type="spellStart"/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fast</w:t>
                        </w:r>
                        <w:proofErr w:type="spellEnd"/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food</w:t>
                        </w:r>
                        <w:proofErr w:type="spellEnd"/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há alguns anos lançou uma campanha mundial de educação alimentar – a </w:t>
                        </w:r>
                        <w:hyperlink r:id="rId8" w:tgtFrame="_blank" w:history="1"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Food</w:t>
                          </w:r>
                          <w:proofErr w:type="spellEnd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Revolution</w:t>
                          </w:r>
                          <w:proofErr w:type="spellEnd"/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– que no ano passado chegou ao Brasil. Em 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Muito além do peso,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Ann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Cooper endossa a iniciativa do colega de profissão: “É preciso incluir o que a criança sabe sobre comida como experiência educacional, porque a única coisa que fazemos várias vezes ao dia durante toda a nossa vida é comer. E isso deve ser tão importante para a educação das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 xml:space="preserve">nossas crianças quanto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leitura, a escrita e a aritmética”. 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 xml:space="preserve">Muito além do peso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traz, com um olhar crítico e emocional, a discussão sobre um dos maiores problemas de saúde da atualidade: a obesidade. Com dados, e por vezes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imagens impressionantes, leva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 população adulta e infantil a refletir sobre o que anda comendo dentro e fora de casa.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O documentário fez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sua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estreia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em 12 de novembro do ano passado no Parque do Ibirapuera, ficou entre os finalistas da 36ª Mostra Internacional de Cinema de São Paulo pela escolha do público, e pode ser assistido pela internet, no 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 xml:space="preserve">site oficial 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onde o download também está disponível, ou no </w:t>
                        </w:r>
                        <w:hyperlink r:id="rId10" w:tgtFrame="_blank" w:history="1">
                          <w:proofErr w:type="spellStart"/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youtube</w:t>
                          </w:r>
                          <w:proofErr w:type="spellEnd"/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r>
                          <w:rPr>
                            <w:rStyle w:val="Forte"/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Muito além do peso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Direção: Estela Renner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Ano: 2012</w:t>
                        </w:r>
                      </w:p>
                      <w:p w:rsidR="00CD3BE0" w:rsidRDefault="00CD3BE0">
                        <w:pPr>
                          <w:pStyle w:val="NormalWeb"/>
                        </w:pPr>
                        <w:proofErr w:type="gramStart"/>
                        <w:r>
                          <w:rPr>
                            <w:rStyle w:val="Forte"/>
                            <w:rFonts w:ascii="Verdana" w:hAnsi="Verdana"/>
                            <w:sz w:val="15"/>
                            <w:szCs w:val="15"/>
                          </w:rPr>
                          <w:t>1</w:t>
                        </w:r>
                        <w:proofErr w:type="gram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O tema tem sido alvo de campanhas e foi objeto de um projeto de lei que proibia a veiculação de anúncios de alimentos e bebidas pobres em nutrientes e com alto teor de açúcar, gorduras saturadas ou sódio entre as 6h e as 21h no rádio e na televisão, e também o uso de celebridades ou personagens infantis na venda de alimentos e o uso de brindes promocionais. O projeto foi aprovado na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Assembleia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Paulista, mas vetado no dia 30 de janeiro pelo governador do estado, dado parecer técnico que aponta a inconstitucionalidade do mesmo. O Instituto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Alana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patrocinador do documentário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Muito além do peso,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é um dos grandes incentivadores dessa medida. </w:t>
                        </w:r>
                      </w:p>
                    </w:tc>
                  </w:tr>
                </w:tbl>
                <w:p w:rsidR="00CD3BE0" w:rsidRDefault="00CD3BE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3BE0" w:rsidRDefault="00CD3BE0">
            <w:pPr>
              <w:rPr>
                <w:sz w:val="24"/>
                <w:szCs w:val="24"/>
              </w:rPr>
            </w:pPr>
          </w:p>
        </w:tc>
      </w:tr>
    </w:tbl>
    <w:p w:rsidR="00CD3BE0" w:rsidRDefault="00CD3BE0" w:rsidP="00CD3BE0"/>
    <w:p w:rsidR="00C34D4E" w:rsidRDefault="004D45D9">
      <w:hyperlink r:id="rId11" w:history="1">
        <w:r w:rsidR="00CD3BE0" w:rsidRPr="006D05E4">
          <w:rPr>
            <w:rStyle w:val="Hyperlink"/>
          </w:rPr>
          <w:t>http://www.youtube.com/watch?v=8UGe5GiHCT4</w:t>
        </w:r>
      </w:hyperlink>
      <w:r w:rsidR="00CD3BE0">
        <w:t xml:space="preserve"> (vídeo: acesso em 24/02/2013), citar os comentários do Vídeo.</w:t>
      </w:r>
    </w:p>
    <w:p w:rsidR="00CD3BE0" w:rsidRDefault="004D45D9">
      <w:hyperlink r:id="rId12" w:history="1">
        <w:r w:rsidR="00CD3BE0" w:rsidRPr="006D05E4">
          <w:rPr>
            <w:rStyle w:val="Hyperlink"/>
          </w:rPr>
          <w:t>http://www.muitoalemdopeso.com.br/index.html</w:t>
        </w:r>
      </w:hyperlink>
      <w:r w:rsidR="00CD3BE0">
        <w:t xml:space="preserve"> (mesmo vídeo)</w:t>
      </w:r>
    </w:p>
    <w:p w:rsidR="00CD3BE0" w:rsidRDefault="00CD3BE0"/>
    <w:p w:rsidR="00CD3BE0" w:rsidRDefault="00CD3BE0"/>
    <w:sectPr w:rsidR="00CD3BE0" w:rsidSect="00CD3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BE0"/>
    <w:rsid w:val="00435C6C"/>
    <w:rsid w:val="004C7DC3"/>
    <w:rsid w:val="004D45D9"/>
    <w:rsid w:val="00C34D4E"/>
    <w:rsid w:val="00C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3B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3BE0"/>
    <w:rPr>
      <w:i/>
      <w:iCs/>
    </w:rPr>
  </w:style>
  <w:style w:type="character" w:styleId="Forte">
    <w:name w:val="Strong"/>
    <w:basedOn w:val="Fontepargpadro"/>
    <w:uiPriority w:val="22"/>
    <w:qFormat/>
    <w:rsid w:val="00CD3BE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ieoliver.com/us/foundation/jamies-food-revolution/ho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so.org/" TargetMode="External"/><Relationship Id="rId12" Type="http://schemas.openxmlformats.org/officeDocument/2006/relationships/hyperlink" Target="http://www.muitoalemdopeso.com.b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food.giveo.com/" TargetMode="External"/><Relationship Id="rId11" Type="http://schemas.openxmlformats.org/officeDocument/2006/relationships/hyperlink" Target="http://www.youtube.com/watch?v=8UGe5GiHCT4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youtube.com/watch?v=8UGe5GiHCT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uitoalemdopeso.com.br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2013-02-24T15:18:00Z</dcterms:created>
  <dcterms:modified xsi:type="dcterms:W3CDTF">2013-02-24T16:25:00Z</dcterms:modified>
</cp:coreProperties>
</file>