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9BF" w:rsidRDefault="00824337" w:rsidP="000929BF">
      <w:r>
        <w:fldChar w:fldCharType="begin"/>
      </w:r>
      <w:r w:rsidR="0069793C">
        <w:instrText xml:space="preserve"> HYPERLINK "</w:instrText>
      </w:r>
      <w:r w:rsidR="0069793C" w:rsidRPr="00140D67">
        <w:instrText>http://www.comciencia.br/comcienc</w:instrText>
      </w:r>
      <w:r w:rsidR="0069793C">
        <w:instrText xml:space="preserve">ia/?section=8&amp;edicao=85&amp;id=1044" </w:instrText>
      </w:r>
      <w:r>
        <w:fldChar w:fldCharType="separate"/>
      </w:r>
      <w:r w:rsidR="0069793C" w:rsidRPr="00945A45">
        <w:rPr>
          <w:rStyle w:val="Hyperlink"/>
        </w:rPr>
        <w:t>http://www.comciencia.br/comciencia/?section=8&amp;edicao=85&amp;id=1044</w:t>
      </w:r>
      <w:r>
        <w:fldChar w:fldCharType="end"/>
      </w:r>
      <w:r w:rsidR="0069793C">
        <w:t xml:space="preserve"> </w:t>
      </w:r>
      <w:r w:rsidR="000929BF">
        <w:t>(acesso em 24/02/2013)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60"/>
      </w:tblGrid>
      <w:tr w:rsidR="000929BF" w:rsidTr="000929B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970"/>
            </w:tblGrid>
            <w:tr w:rsidR="000929B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737"/>
                    <w:gridCol w:w="143"/>
                  </w:tblGrid>
                  <w:tr w:rsidR="000929BF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929BF" w:rsidRDefault="000929BF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0929BF" w:rsidRDefault="000929BF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929BF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929BF" w:rsidRPr="000929BF" w:rsidRDefault="000929BF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0929BF">
                          <w:rPr>
                            <w:b/>
                            <w:sz w:val="28"/>
                            <w:szCs w:val="28"/>
                          </w:rPr>
                          <w:t>A obesidade e a indústria do emagrecimento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29BF" w:rsidRDefault="000929BF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929BF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929BF" w:rsidRDefault="000929BF" w:rsidP="00DE2654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 xml:space="preserve">Por Tadeu João Ribeiro Baptista 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0929BF" w:rsidRDefault="000929BF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929BF">
                    <w:trPr>
                      <w:trHeight w:val="150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929BF" w:rsidRDefault="000929BF">
                        <w:pPr>
                          <w:spacing w:line="150" w:lineRule="atLeas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29BF" w:rsidRDefault="000929B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929BF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0929BF" w:rsidRDefault="000929BF">
                        <w:pPr>
                          <w:pStyle w:val="NormalWeb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A obesidade tem sido considerada pela Organização Mundial da Saúde (OMS) um problema de saúde pública mundial. Alguns estudos afirmam que esse problema tem se agravado, o que tem gerado custos significativos para o sistema de saúde pública no Brasil e no mundo. Assim, essa tem sido uma preocupação constante da comunidade científica, bem como dos profissionais da área de saúde. Uma evidência significativa disso são os estudos sobre prevalência e incidência da obesidade em diferentes regiões do Brasil e do mundo. </w:t>
                        </w:r>
                      </w:p>
                      <w:p w:rsidR="000929BF" w:rsidRDefault="000929BF">
                        <w:pPr>
                          <w:pStyle w:val="NormalWeb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A população composta por pessoas obesas tem</w:t>
                        </w:r>
                        <w:r w:rsidR="000E29B3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passado por uma série de dificuldades, principalmente quando se considera a questão das relações sociais, como no processo </w:t>
                        </w:r>
                        <w:proofErr w:type="spellStart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deinteração</w:t>
                        </w:r>
                        <w:proofErr w:type="spellEnd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com as outras pessoas, compreendendo a forma como a sociedade entende o que seja o corpo belo. Ao se ler o texto de </w:t>
                        </w:r>
                        <w:proofErr w:type="spellStart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Ervin</w:t>
                        </w:r>
                        <w:proofErr w:type="spellEnd"/>
                        <w:r w:rsidR="000E29B3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Goffman</w:t>
                        </w:r>
                        <w:proofErr w:type="spellEnd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, </w:t>
                        </w:r>
                        <w:r>
                          <w:rPr>
                            <w:rStyle w:val="nfase"/>
                            <w:rFonts w:ascii="Verdana" w:hAnsi="Verdana"/>
                            <w:sz w:val="20"/>
                            <w:szCs w:val="20"/>
                          </w:rPr>
                          <w:t>O estigma,</w:t>
                        </w: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publicado no Brasil em 1988, é possível perceber o processo de </w:t>
                        </w:r>
                        <w:proofErr w:type="spellStart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estigmatização</w:t>
                        </w:r>
                        <w:proofErr w:type="spellEnd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dos obesos, pois, o seu corpo apresenta características contrárias aos padrões sociais de corpo apresentados pela sociedade e disseminados pela </w:t>
                        </w:r>
                        <w:proofErr w:type="gramStart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mídia.</w:t>
                        </w:r>
                        <w:proofErr w:type="gramEnd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Mais recentemente, em texto de </w:t>
                        </w:r>
                        <w:proofErr w:type="spellStart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Goellner</w:t>
                        </w:r>
                        <w:proofErr w:type="spellEnd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(2009), esse corpo apresenta como características a juventude, a força, a brancura, a aparência de classe média e, acima de tudo: a magreza. </w:t>
                        </w:r>
                      </w:p>
                      <w:p w:rsidR="000929BF" w:rsidRDefault="000929BF">
                        <w:pPr>
                          <w:pStyle w:val="NormalWeb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Se já não bastasse a possibilidade de as pessoas obesas sofrerem com uma série de problemas, como o risco de </w:t>
                        </w:r>
                        <w:proofErr w:type="spellStart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comorbidades</w:t>
                        </w:r>
                        <w:proofErr w:type="spellEnd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como a hipertensão, a diabetes, a dislipidemia, entre outras, além da falta de consideração social, existe uma pressão significativa para que emagreçam a qualquer custo. De acordo com o estudo de </w:t>
                        </w:r>
                        <w:proofErr w:type="spellStart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Fischler</w:t>
                        </w:r>
                        <w:proofErr w:type="spellEnd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(1995), o obeso pode ser visto como benigno ou maligno, sendo este último associado com a preguiça, a gula e até mesmo a certa desonestidade. De acordo com o estudo realizado por Almeida </w:t>
                        </w:r>
                        <w:proofErr w:type="spellStart"/>
                        <w:proofErr w:type="gramStart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et</w:t>
                        </w:r>
                        <w:proofErr w:type="spellEnd"/>
                        <w:proofErr w:type="gramEnd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al</w:t>
                        </w:r>
                        <w:proofErr w:type="spellEnd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(2006), a indústria do emagrecimento é, na realidade, um dos desdobramentos da indústria cultural, assim definida por Baptista (2001, p. 74):</w:t>
                        </w:r>
                      </w:p>
                      <w:tbl>
                        <w:tblPr>
                          <w:tblW w:w="6750" w:type="dxa"/>
                          <w:jc w:val="righ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750"/>
                        </w:tblGrid>
                        <w:tr w:rsidR="000929BF">
                          <w:trPr>
                            <w:tblCellSpacing w:w="15" w:type="dxa"/>
                            <w:jc w:val="right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929BF" w:rsidRDefault="000929BF">
                              <w:pPr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A “</w:t>
                              </w:r>
                              <w:r>
                                <w:rPr>
                                  <w:rStyle w:val="nfase"/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indústria cultural” </w:t>
                              </w:r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 xml:space="preserve">pode ser entendida como um instrumento de pressão da sociedade sobre o indivíduo através da utilização de elementos culturais que se tornam acessíveis pelo cinema, pela televisão e por outros meios de comunicação de massa. Esses são utilizados como formas de cooptarem os indivíduos para uma atuação de acordo com os interesses e as necessidades do modo de </w:t>
                              </w:r>
                              <w:proofErr w:type="gramStart"/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produção[</w:t>
                              </w:r>
                              <w:proofErr w:type="gramEnd"/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...]. (Grifo do autor)</w:t>
                              </w:r>
                            </w:p>
                          </w:tc>
                        </w:tr>
                      </w:tbl>
                      <w:p w:rsidR="000929BF" w:rsidRDefault="000929BF">
                        <w:pPr>
                          <w:pStyle w:val="NormalWeb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De acordo com o estudo de Baptista (2001), a indústria cultural é um mecanismo significativo para a disseminação do ideário capitalista, a qual </w:t>
                        </w:r>
                        <w:proofErr w:type="gramStart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demonstra,</w:t>
                        </w:r>
                        <w:proofErr w:type="gramEnd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de diferentes formas, o modelo de corpo referencial para esse modelo social. Assim sendo, poderíamos dividir a indústria cultural em vários setores, entre os quais, no tocante às questões do corpo, poderiam ser apresentadas ao menos duas dessas divisões. De um lado, a indústria da beleza, a qual não só tem como referência o modelo de corpo já comentado, como anuncia</w:t>
                        </w:r>
                        <w:r w:rsidR="000E29B3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as roupas da moda, os cremes </w:t>
                        </w:r>
                        <w:proofErr w:type="spellStart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antirrugas</w:t>
                        </w:r>
                        <w:proofErr w:type="spellEnd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, as tinturas para o cabelo, entre outras, adequadas para cada sexo, classe social e faixa etária, além do uso de exercícios e dietas responsáveis por deixar as pessoas com a aparência correta. </w:t>
                        </w:r>
                      </w:p>
                      <w:p w:rsidR="000929BF" w:rsidRDefault="000929BF">
                        <w:pPr>
                          <w:pStyle w:val="NormalWeb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De outro lado, temos a indústria do emagrecimento, a qual pode ser entendida como os mecanismos desenvolvidos na indústria cultural responsáveis por disseminar a </w:t>
                        </w:r>
                        <w:proofErr w:type="spellStart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ideia</w:t>
                        </w:r>
                        <w:proofErr w:type="spellEnd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de um corpo magro, ou de estratégias que facilitem o processo de perda de peso. Essa “ramificação” da indústria cultural não tem como referência apenas a apresentação do modelo de corpo </w:t>
                        </w: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lastRenderedPageBreak/>
                          <w:t xml:space="preserve">magro, mas, acima de tudo, pretende demonstrar como ser mais magro e parecer mais magro. Não basta apenas ter a medida certa do corpo, mas, também, parecer ter o modelo de corpo certo. </w:t>
                        </w:r>
                      </w:p>
                      <w:p w:rsidR="000929BF" w:rsidRDefault="000929BF">
                        <w:pPr>
                          <w:pStyle w:val="NormalWeb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Segundo Mendonça (2005, p. 25), “é por esses motivos que a população de pessoas obesas representa o alvo principal para os meios de comunicação em massa, que promovem a imagem da esbelteza e de como a gordura é indesejável. [...] A sociedade </w:t>
                        </w:r>
                        <w:proofErr w:type="spellStart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frequentemente</w:t>
                        </w:r>
                        <w:proofErr w:type="spellEnd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classifica os indivíduos obesos como sem controle e indulgentes ao extremo. A obesidade é vista como uma doença </w:t>
                        </w:r>
                        <w:proofErr w:type="spellStart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autoinflingida</w:t>
                        </w:r>
                        <w:proofErr w:type="spellEnd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. [...</w:t>
                        </w:r>
                        <w:proofErr w:type="gramStart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]Nesse</w:t>
                        </w:r>
                        <w:proofErr w:type="gramEnd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sentido, podem-se considerar ao menos dois aspectos. O primeiro é o que </w:t>
                        </w:r>
                        <w:proofErr w:type="spellStart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Quint</w:t>
                        </w:r>
                        <w:proofErr w:type="spellEnd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eMatiello</w:t>
                        </w:r>
                        <w:proofErr w:type="spellEnd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Júnior (1999) vão chamar de pedagogias do medo e da culpa e, acima de tudo, gerando o que eles denominam de </w:t>
                        </w:r>
                        <w:proofErr w:type="spellStart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culpabilização</w:t>
                        </w:r>
                        <w:proofErr w:type="spellEnd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da vítima, já que essa patologia, a obesidade, não se dá apenas por preguiça. [...]No entanto, pode representar mais um problema estético e moral do que de saúde física. O fato de ser obeso pode provocar uma queda no status social e na aceitação do indivíduo, prejudicando-o no aproveitamento escolar, na contratação de empregos”, acrescenta Mendonça, citando </w:t>
                        </w:r>
                        <w:proofErr w:type="spellStart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Pollock</w:t>
                        </w:r>
                        <w:proofErr w:type="spellEnd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e </w:t>
                        </w:r>
                        <w:proofErr w:type="spellStart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Wilmore</w:t>
                        </w:r>
                        <w:proofErr w:type="spellEnd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. Almeida </w:t>
                        </w:r>
                        <w:proofErr w:type="spellStart"/>
                        <w:proofErr w:type="gramStart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et</w:t>
                        </w:r>
                        <w:proofErr w:type="spellEnd"/>
                        <w:proofErr w:type="gramEnd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al</w:t>
                        </w:r>
                        <w:proofErr w:type="spellEnd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(2006, p. 276) observam que “são provavelmente esses aspectos levantados que atribuem à obesidade, de uma forma geral, o atributo de feia, [...] pela diferença que apresentam em relação ao padrão estético vigente”. </w:t>
                        </w:r>
                      </w:p>
                      <w:p w:rsidR="000929BF" w:rsidRDefault="000929BF">
                        <w:pPr>
                          <w:pStyle w:val="NormalWeb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Assim, a indústria do emagrecimento tem algumas estratégias para convencer as pessoas sobre a necessidade de reduzir o seu peso. Uma delas e, talvez, uma das mais eficientes é apresentar a obesidade como uma doença </w:t>
                        </w:r>
                        <w:proofErr w:type="spellStart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autoinfligida</w:t>
                        </w:r>
                        <w:proofErr w:type="spellEnd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, haja vista a mesma se configurar como o uso do excesso de comida e a falta de esforço, principalmente, os físicos, por parte da própria pessoa. </w:t>
                        </w:r>
                      </w:p>
                      <w:p w:rsidR="000929BF" w:rsidRDefault="000929BF">
                        <w:pPr>
                          <w:pStyle w:val="NormalWeb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Como forma de atender a essas demandas sociais, os obesos utilizam uma série de procedimentos com o objetivo de emagrecer, sendo todos eles sugeridos pela indústria do emagrecimento, como forma de atender à necessidade das pessoas e o seu bem-estar. Assim, existe uma adesão dessas pessoas a atividades como dietas usando produtos light e </w:t>
                        </w:r>
                        <w:proofErr w:type="spellStart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diet</w:t>
                        </w:r>
                        <w:proofErr w:type="spellEnd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, prática de exercícios em diferentes locais, entre eles as academias de ginástica e, em situações extremas, o uso de cirurgias bariátricas. </w:t>
                        </w:r>
                      </w:p>
                      <w:p w:rsidR="000929BF" w:rsidRDefault="000929BF">
                        <w:pPr>
                          <w:pStyle w:val="NormalWeb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As dietas são utilizadas por pessoas com diferentes perfis. Segundo o estudo de Hall e Lima Filho (2006), entre os consumidores de produtos light e </w:t>
                        </w:r>
                        <w:proofErr w:type="spellStart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diet</w:t>
                        </w:r>
                        <w:proofErr w:type="spellEnd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de quatro cidades brasileiras, 31,5% possuem renda familiar entre dois e cinco salários mínimos, 40,2% têm entre 21 e 35 anos, 30% possuem ensino médio completo, e 51,4% são mulheres. Ainda de acordo com esse estudo, 10,1% de consumidores em Porto Alegre, Goiânia, São Paulo e Recife afirmam consumir produtos </w:t>
                        </w:r>
                        <w:proofErr w:type="spellStart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diet</w:t>
                        </w:r>
                        <w:proofErr w:type="spellEnd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e light porque não engordam (Hall e Lima Filho, 2006, p. 9). </w:t>
                        </w:r>
                      </w:p>
                      <w:p w:rsidR="000929BF" w:rsidRDefault="000929BF">
                        <w:pPr>
                          <w:pStyle w:val="NormalWeb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Desse modo, é possível identificar que a indústria do emagrecimento tem conseguido um público cativo, apresentando um aumento expressivo nesse contexto, pois, de acordo com Furlan (2011, p. 1), “uma pesquisa da consultoria Euromonitor indica que a </w:t>
                        </w:r>
                        <w:hyperlink r:id="rId4" w:tgtFrame="_blank" w:history="1">
                          <w:r>
                            <w:rPr>
                              <w:rStyle w:val="Hyperlink"/>
                              <w:rFonts w:ascii="Verdana" w:hAnsi="Verdana"/>
                              <w:sz w:val="20"/>
                              <w:szCs w:val="20"/>
                            </w:rPr>
                            <w:t>venda</w:t>
                          </w:r>
                        </w:hyperlink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de produtos saudáveis, como alimentos e bebidas </w:t>
                        </w:r>
                        <w:proofErr w:type="spellStart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diet</w:t>
                        </w:r>
                        <w:proofErr w:type="spellEnd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, light, sem glúten, sem lactose, naturais e orgânicos, cresceu 82% de 2004 a 2009, atingindo patamar de R$ 15 bilhões ao ano. Segundo o estudo, a perspectiva de crescimento até 2014 é de 40%”. </w:t>
                        </w:r>
                      </w:p>
                      <w:p w:rsidR="000929BF" w:rsidRDefault="000929BF">
                        <w:pPr>
                          <w:pStyle w:val="NormalWeb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Além do aumento da ingestão de alimentos considerados saudáveis, </w:t>
                        </w:r>
                        <w:proofErr w:type="gramStart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existe,</w:t>
                        </w:r>
                        <w:proofErr w:type="gramEnd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associado a isso, a prática de atividades físicas. De acordo com um estudo coordenado por Lamartine Pereira da Costa (citado por</w:t>
                        </w:r>
                        <w:r w:rsidR="000E29B3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Confef</w:t>
                        </w:r>
                        <w:proofErr w:type="spellEnd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, 2004, p. 19), “cerca de 3,4 milhões de brasileiros</w:t>
                        </w:r>
                        <w:r w:rsidR="000E29B3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praticam atividades físicas em 20 mil</w:t>
                        </w:r>
                        <w:r w:rsidR="000E29B3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academias, um recorde mundial em</w:t>
                        </w:r>
                        <w:r w:rsidR="000E29B3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quantidade de estabelecimentos”. Dados de outro estudo (Gonçalves e </w:t>
                        </w:r>
                        <w:proofErr w:type="spellStart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Alchieri</w:t>
                        </w:r>
                        <w:proofErr w:type="spellEnd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, 2010, p. 130) revelam que “no que se refere ao índice de massa corporal, não foram encontrados resultados estatisticamente significativos, no entanto, ressalta-se a importância de estudos futuros que verifiquem a relação da motivação com a prática de atividade e a obesidade, por exemplo, tendo em vista que em alguns estudos (por exemplo, </w:t>
                        </w:r>
                        <w:proofErr w:type="spellStart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Kilpatrick</w:t>
                        </w:r>
                        <w:proofErr w:type="spellEnd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e colaboradores, 2005), a variável de controle do peso tem sido identificada como relevante para se compreender a motivação à prática de atividade física. Ademais, conhecendo-se as principais motivações das pessoas com sobrepeso ou obesas, seria de extrema relevância para viabilizar estratégias de intervenção que visem diminuir o sedentarismo entre essas pessoas”. </w:t>
                        </w:r>
                      </w:p>
                      <w:p w:rsidR="000929BF" w:rsidRDefault="000929BF">
                        <w:pPr>
                          <w:pStyle w:val="NormalWeb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Assim, é importante identificar que a prática de atividade física é vista não só pelas autoridades de saúde, como pela própria mídia, como um comportamento importante no processo de </w:t>
                        </w: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lastRenderedPageBreak/>
                          <w:t xml:space="preserve">emagrecimento. Percebe-se, inclusive, o estímulo apresentado pelos meios de comunicação de massa em relação à prática de atividades físicas para as pessoas obesas. </w:t>
                        </w:r>
                      </w:p>
                      <w:p w:rsidR="000929BF" w:rsidRDefault="000929BF">
                        <w:pPr>
                          <w:pStyle w:val="NormalWeb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Além desses processos muito utilizados para emagrecer, outros tratamentos e procedimentos são indicados, entre eles, os processos psicoterápicos, o uso de roupas específicas, como espartilhos, entre outras. Mas o limite do processo de emagrecimento, sobretudo para aquelas pessoas que apresentam índice de massa corporal (IMC) igual ou maior que 40 kg/m 2, quando os outros procedimentos não funcionam, </w:t>
                        </w:r>
                        <w:proofErr w:type="gramStart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é</w:t>
                        </w:r>
                        <w:proofErr w:type="gramEnd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a cirurgia bariátrica. De acordo com a Sociedade Brasileira de Cirurgia Bariátrica e Metabologia (SBCBM), em 2003 foram realizadas 16.000 cirurgias no país, enquanto, em 2010, este número alcançou 60.000 operações, o que corresponde a um aumento de 375% em sete anos. </w:t>
                        </w:r>
                      </w:p>
                      <w:p w:rsidR="000929BF" w:rsidRDefault="000929BF">
                        <w:pPr>
                          <w:pStyle w:val="NormalWeb"/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Enfim, todos esses procedimentos são, na realidade, estimulados por uma sociedade que tem como objetivo central o lucro. Mas não se pode esquecer o fato de a obesidade ser, por sua vez, estimulada pelo consumo de comidas ricas em gorduras, com porções cada vez maiores e com alto teor calórico. Desse modo, compreendemos que a obesidade e o estímulo gerado pela indústria do emagrecimento se apresentam como contraditórios, pois, a atual epidemia de obesidade tem como uma de suas determinações os aspectos sociais, como o excesso de calorias nos alimentos, por exemplo. O que é preocupante nesse contexto é que as mensagens disseminadas acabam gerando outros problemas psicossociais, como a bulimia, a anorexia, a </w:t>
                        </w:r>
                        <w:proofErr w:type="spellStart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ortorexia</w:t>
                        </w:r>
                        <w:proofErr w:type="spellEnd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e a </w:t>
                        </w:r>
                        <w:proofErr w:type="spellStart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vigorexia</w:t>
                        </w:r>
                        <w:proofErr w:type="spellEnd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. Porém isso é assunto para outro momento. </w:t>
                        </w:r>
                      </w:p>
                      <w:p w:rsidR="000929BF" w:rsidRDefault="000929BF">
                        <w:pPr>
                          <w:pStyle w:val="NormalWeb"/>
                        </w:pPr>
                        <w:r>
                          <w:rPr>
                            <w:rStyle w:val="Forte"/>
                            <w:rFonts w:ascii="Verdana" w:hAnsi="Verdana"/>
                            <w:i/>
                            <w:iCs/>
                            <w:sz w:val="20"/>
                            <w:szCs w:val="20"/>
                          </w:rPr>
                          <w:t>Tadeu João Ribeiro Baptista</w:t>
                        </w:r>
                        <w:r>
                          <w:rPr>
                            <w:rStyle w:val="nfase"/>
                            <w:rFonts w:ascii="Verdana" w:hAnsi="Verdana"/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Style w:val="nfase"/>
                            <w:rFonts w:ascii="Verdana" w:hAnsi="Verdana"/>
                            <w:sz w:val="20"/>
                            <w:szCs w:val="20"/>
                          </w:rPr>
                          <w:t>é professor adjunto da Faculdade de Educação Física da Universidade Federal de Goiás e um dos líderes do Grupo de Estudos e Pesquisas</w:t>
                        </w:r>
                        <w:proofErr w:type="gramEnd"/>
                        <w:r>
                          <w:rPr>
                            <w:rStyle w:val="nfase"/>
                            <w:rFonts w:ascii="Verdana" w:hAnsi="Verdana"/>
                            <w:sz w:val="20"/>
                            <w:szCs w:val="20"/>
                          </w:rPr>
                          <w:t xml:space="preserve"> sobre Corpo, Estética, Exercício e Saúde, da Universidade Estadual de Goiás. </w:t>
                        </w:r>
                      </w:p>
                      <w:p w:rsidR="000929BF" w:rsidRDefault="000929BF">
                        <w:pPr>
                          <w:pStyle w:val="NormalWeb"/>
                        </w:pPr>
                        <w:r>
                          <w:rPr>
                            <w:rStyle w:val="Forte"/>
                            <w:rFonts w:ascii="Verdana" w:hAnsi="Verdana"/>
                            <w:sz w:val="20"/>
                            <w:szCs w:val="20"/>
                          </w:rPr>
                          <w:t>Referências bibliográficas</w:t>
                        </w:r>
                      </w:p>
                      <w:p w:rsidR="000929BF" w:rsidRDefault="000929BF">
                        <w:pPr>
                          <w:pStyle w:val="NormalWeb"/>
                        </w:pPr>
                        <w:r>
                          <w:rPr>
                            <w:rFonts w:ascii="Verdana" w:hAnsi="Verdana"/>
                            <w:sz w:val="15"/>
                            <w:szCs w:val="15"/>
                          </w:rPr>
                          <w:t xml:space="preserve">Almeida, Ana C. N de </w:t>
                        </w:r>
                        <w:proofErr w:type="spellStart"/>
                        <w:proofErr w:type="gramStart"/>
                        <w:r>
                          <w:rPr>
                            <w:rFonts w:ascii="Verdana" w:hAnsi="Verdana"/>
                            <w:sz w:val="15"/>
                            <w:szCs w:val="15"/>
                          </w:rPr>
                          <w:t>et</w:t>
                        </w:r>
                        <w:proofErr w:type="spellEnd"/>
                        <w:proofErr w:type="gramEnd"/>
                        <w:r>
                          <w:rPr>
                            <w:rFonts w:ascii="Verdana" w:hAnsi="Verdana"/>
                            <w:sz w:val="15"/>
                            <w:szCs w:val="15"/>
                          </w:rPr>
                          <w:t xml:space="preserve"> al. “Corpo, estética e obesidade: reflexões baseadas no paradigma da indústria cultural”. </w:t>
                        </w:r>
                        <w:r>
                          <w:rPr>
                            <w:rStyle w:val="nfase"/>
                            <w:rFonts w:ascii="Verdana" w:hAnsi="Verdana"/>
                            <w:sz w:val="15"/>
                            <w:szCs w:val="15"/>
                          </w:rPr>
                          <w:t>Estudos.</w:t>
                        </w:r>
                        <w:r>
                          <w:rPr>
                            <w:rFonts w:ascii="Verdana" w:hAnsi="Verdana"/>
                            <w:sz w:val="15"/>
                            <w:szCs w:val="15"/>
                          </w:rPr>
                          <w:t xml:space="preserve"> Goiânia: Ed. da UCG, v. 33, n. 9/10, pp. 789-812, set./out. 2006.</w:t>
                        </w:r>
                        <w:r>
                          <w:rPr>
                            <w:rFonts w:ascii="Verdana" w:hAnsi="Verdana"/>
                            <w:sz w:val="15"/>
                            <w:szCs w:val="15"/>
                          </w:rPr>
                          <w:br/>
                          <w:t>Baptista, T. J. R. “Procurando o lado escuro da Lua: implicações sociais da prática de atividades corporais realizadas por adultos em academias de ginástica de Goiânia”. Dissertação (mestrado em educação). UFG, Goiânia, 2001.</w:t>
                        </w:r>
                        <w:r>
                          <w:rPr>
                            <w:rFonts w:ascii="Verdana" w:hAnsi="Verdana"/>
                            <w:sz w:val="15"/>
                            <w:szCs w:val="15"/>
                          </w:rPr>
                          <w:br/>
                        </w:r>
                        <w:proofErr w:type="spellStart"/>
                        <w:r>
                          <w:rPr>
                            <w:rFonts w:ascii="Verdana" w:hAnsi="Verdana"/>
                            <w:sz w:val="15"/>
                            <w:szCs w:val="15"/>
                          </w:rPr>
                          <w:t>Confef</w:t>
                        </w:r>
                        <w:proofErr w:type="spellEnd"/>
                        <w:r>
                          <w:rPr>
                            <w:rFonts w:ascii="Verdana" w:hAnsi="Verdana"/>
                            <w:sz w:val="15"/>
                            <w:szCs w:val="15"/>
                          </w:rPr>
                          <w:t xml:space="preserve"> – Conselho Federal de Educação Física. “Consórcio apresenta o </w:t>
                        </w:r>
                        <w:proofErr w:type="spellStart"/>
                        <w:r>
                          <w:rPr>
                            <w:rFonts w:ascii="Verdana" w:hAnsi="Verdana"/>
                            <w:sz w:val="15"/>
                            <w:szCs w:val="15"/>
                          </w:rPr>
                          <w:t>maiorpanorama</w:t>
                        </w:r>
                        <w:proofErr w:type="spellEnd"/>
                        <w:r>
                          <w:rPr>
                            <w:rFonts w:ascii="Verdana" w:hAnsi="Verdana"/>
                            <w:sz w:val="15"/>
                            <w:szCs w:val="15"/>
                          </w:rPr>
                          <w:t xml:space="preserve"> sobre o setor de atividade física no país”. </w:t>
                        </w:r>
                        <w:r>
                          <w:rPr>
                            <w:rStyle w:val="nfase"/>
                            <w:rFonts w:ascii="Verdana" w:hAnsi="Verdana"/>
                            <w:sz w:val="15"/>
                            <w:szCs w:val="15"/>
                          </w:rPr>
                          <w:t xml:space="preserve">Revista </w:t>
                        </w:r>
                        <w:proofErr w:type="spellStart"/>
                        <w:r>
                          <w:rPr>
                            <w:rStyle w:val="nfase"/>
                            <w:rFonts w:ascii="Verdana" w:hAnsi="Verdana"/>
                            <w:sz w:val="15"/>
                            <w:szCs w:val="15"/>
                          </w:rPr>
                          <w:t>E.F.</w:t>
                        </w:r>
                        <w:proofErr w:type="spellEnd"/>
                        <w:r>
                          <w:rPr>
                            <w:rStyle w:val="nfase"/>
                            <w:rFonts w:ascii="Verdana" w:hAnsi="Verdana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5"/>
                            <w:szCs w:val="15"/>
                          </w:rPr>
                          <w:t xml:space="preserve">n. 11, p. 19-21, mar. 2004. Disponível em: </w:t>
                        </w:r>
                        <w:hyperlink r:id="rId5" w:tgtFrame="_blank" w:history="1">
                          <w:r>
                            <w:rPr>
                              <w:rStyle w:val="Hyperlink"/>
                              <w:rFonts w:ascii="Verdana" w:hAnsi="Verdana"/>
                              <w:sz w:val="15"/>
                              <w:szCs w:val="15"/>
                            </w:rPr>
                            <w:t>http://www.confef.org.br/extra/revistaef/arquivos/2004/N11_MAR%C3%87O/08_LANCAMENTO_DO_ATLAS.PDF</w:t>
                          </w:r>
                        </w:hyperlink>
                        <w:r>
                          <w:rPr>
                            <w:rFonts w:ascii="Verdana" w:hAnsi="Verdana"/>
                            <w:sz w:val="15"/>
                            <w:szCs w:val="15"/>
                          </w:rPr>
                          <w:t>. Acesso em: -3/02/2013.</w:t>
                        </w:r>
                        <w:r>
                          <w:rPr>
                            <w:rFonts w:ascii="Verdana" w:hAnsi="Verdana"/>
                            <w:sz w:val="15"/>
                            <w:szCs w:val="15"/>
                          </w:rPr>
                          <w:br/>
                        </w:r>
                        <w:proofErr w:type="spellStart"/>
                        <w:r>
                          <w:rPr>
                            <w:rFonts w:ascii="Verdana" w:hAnsi="Verdana"/>
                            <w:sz w:val="15"/>
                            <w:szCs w:val="15"/>
                          </w:rPr>
                          <w:t>Fischler</w:t>
                        </w:r>
                        <w:proofErr w:type="spellEnd"/>
                        <w:r>
                          <w:rPr>
                            <w:rFonts w:ascii="Verdana" w:hAnsi="Verdana"/>
                            <w:sz w:val="15"/>
                            <w:szCs w:val="15"/>
                          </w:rPr>
                          <w:t xml:space="preserve">, C. “Obeso benigno, obeso maligno”. In: </w:t>
                        </w:r>
                        <w:proofErr w:type="spellStart"/>
                        <w:r>
                          <w:rPr>
                            <w:rFonts w:ascii="Verdana" w:hAnsi="Verdana"/>
                            <w:sz w:val="15"/>
                            <w:szCs w:val="15"/>
                          </w:rPr>
                          <w:t>Sant'anna</w:t>
                        </w:r>
                        <w:proofErr w:type="spellEnd"/>
                        <w:r>
                          <w:rPr>
                            <w:rFonts w:ascii="Verdana" w:hAnsi="Verdana"/>
                            <w:sz w:val="15"/>
                            <w:szCs w:val="15"/>
                          </w:rPr>
                          <w:t xml:space="preserve">, D. B. (Org.). </w:t>
                        </w:r>
                        <w:r>
                          <w:rPr>
                            <w:rStyle w:val="nfase"/>
                            <w:rFonts w:ascii="Verdana" w:hAnsi="Verdana"/>
                            <w:sz w:val="15"/>
                            <w:szCs w:val="15"/>
                          </w:rPr>
                          <w:t xml:space="preserve">Políticas do corpo. </w:t>
                        </w:r>
                        <w:r>
                          <w:rPr>
                            <w:rFonts w:ascii="Verdana" w:hAnsi="Verdana"/>
                            <w:sz w:val="15"/>
                            <w:szCs w:val="15"/>
                          </w:rPr>
                          <w:t>São Paulo: Estação Liberdade, 1995, pp. 121-139.</w:t>
                        </w:r>
                        <w:r>
                          <w:rPr>
                            <w:rFonts w:ascii="Verdana" w:hAnsi="Verdana"/>
                            <w:sz w:val="15"/>
                            <w:szCs w:val="15"/>
                          </w:rPr>
                          <w:br/>
                          <w:t>Furlan, Paula. “</w:t>
                        </w:r>
                        <w:hyperlink r:id="rId6" w:tgtFrame="_blank" w:history="1">
                          <w:r>
                            <w:rPr>
                              <w:rStyle w:val="Hyperlink"/>
                              <w:rFonts w:ascii="Verdana" w:hAnsi="Verdana"/>
                              <w:sz w:val="15"/>
                              <w:szCs w:val="15"/>
                            </w:rPr>
                            <w:t>Mercado não está preparado para suprir consumidores de diet e light</w:t>
                          </w:r>
                        </w:hyperlink>
                        <w:r>
                          <w:rPr>
                            <w:rFonts w:ascii="Verdana" w:hAnsi="Verdana"/>
                            <w:sz w:val="15"/>
                            <w:szCs w:val="15"/>
                          </w:rPr>
                          <w:t xml:space="preserve">”. </w:t>
                        </w:r>
                        <w:r>
                          <w:rPr>
                            <w:rStyle w:val="nfase"/>
                            <w:rFonts w:ascii="Verdana" w:hAnsi="Verdana"/>
                            <w:sz w:val="15"/>
                            <w:szCs w:val="15"/>
                          </w:rPr>
                          <w:t>Consumidor moderno.</w:t>
                        </w:r>
                        <w:r>
                          <w:rPr>
                            <w:rFonts w:ascii="Verdana" w:hAnsi="Verdana"/>
                            <w:sz w:val="15"/>
                            <w:szCs w:val="15"/>
                          </w:rPr>
                          <w:t xml:space="preserve"> 29/09/2011. Disponível em: </w:t>
                        </w:r>
                        <w:hyperlink r:id="rId7" w:tgtFrame="_blank" w:history="1">
                          <w:r>
                            <w:rPr>
                              <w:rStyle w:val="Hyperlink"/>
                              <w:rFonts w:ascii="Verdana" w:hAnsi="Verdana"/>
                              <w:sz w:val="15"/>
                              <w:szCs w:val="15"/>
                            </w:rPr>
                            <w:t>http://consumidormoderno.uol.com.br/na-pele-do-consumidor/mercado-n-o-esta-preparado-para-suprir-consumidores-de-diet-e-light</w:t>
                          </w:r>
                        </w:hyperlink>
                        <w:r>
                          <w:rPr>
                            <w:rFonts w:ascii="Verdana" w:hAnsi="Verdana"/>
                            <w:sz w:val="15"/>
                            <w:szCs w:val="15"/>
                          </w:rPr>
                          <w:t>. Acesso em: 03/02/2013.</w:t>
                        </w:r>
                        <w:r>
                          <w:rPr>
                            <w:rFonts w:ascii="Verdana" w:hAnsi="Verdana"/>
                            <w:sz w:val="15"/>
                            <w:szCs w:val="15"/>
                          </w:rPr>
                          <w:br/>
                        </w:r>
                        <w:proofErr w:type="spellStart"/>
                        <w:r>
                          <w:rPr>
                            <w:rFonts w:ascii="Verdana" w:hAnsi="Verdana"/>
                            <w:sz w:val="15"/>
                            <w:szCs w:val="15"/>
                          </w:rPr>
                          <w:t>Goellner</w:t>
                        </w:r>
                        <w:proofErr w:type="spellEnd"/>
                        <w:r>
                          <w:rPr>
                            <w:rFonts w:ascii="Verdana" w:hAnsi="Verdana"/>
                            <w:sz w:val="15"/>
                            <w:szCs w:val="15"/>
                          </w:rPr>
                          <w:t xml:space="preserve">, S. V. “A Produção de corpos hígidos: atividade física, saúde e nacionalismo no Brasil no início do século 20”. In: </w:t>
                        </w:r>
                        <w:proofErr w:type="spellStart"/>
                        <w:r>
                          <w:rPr>
                            <w:rFonts w:ascii="Verdana" w:hAnsi="Verdana"/>
                            <w:sz w:val="15"/>
                            <w:szCs w:val="15"/>
                          </w:rPr>
                          <w:t>Grando</w:t>
                        </w:r>
                        <w:proofErr w:type="spellEnd"/>
                        <w:r>
                          <w:rPr>
                            <w:rFonts w:ascii="Verdana" w:hAnsi="Verdana"/>
                            <w:sz w:val="15"/>
                            <w:szCs w:val="15"/>
                          </w:rPr>
                          <w:t xml:space="preserve">, B. S. (Org.). </w:t>
                        </w:r>
                        <w:r>
                          <w:rPr>
                            <w:rStyle w:val="nfase"/>
                            <w:rFonts w:ascii="Verdana" w:hAnsi="Verdana"/>
                            <w:sz w:val="15"/>
                            <w:szCs w:val="15"/>
                          </w:rPr>
                          <w:t xml:space="preserve">Corpo, educação e cultura: práticas sociais e maneiras de ser. </w:t>
                        </w:r>
                        <w:proofErr w:type="spellStart"/>
                        <w:r>
                          <w:rPr>
                            <w:rFonts w:ascii="Verdana" w:hAnsi="Verdana"/>
                            <w:sz w:val="15"/>
                            <w:szCs w:val="15"/>
                          </w:rPr>
                          <w:t>Ijuí</w:t>
                        </w:r>
                        <w:proofErr w:type="spellEnd"/>
                        <w:r>
                          <w:rPr>
                            <w:rFonts w:ascii="Verdana" w:hAnsi="Verdana"/>
                            <w:sz w:val="15"/>
                            <w:szCs w:val="15"/>
                          </w:rPr>
                          <w:t xml:space="preserve">: Ed. da </w:t>
                        </w:r>
                        <w:proofErr w:type="spellStart"/>
                        <w:r>
                          <w:rPr>
                            <w:rFonts w:ascii="Verdana" w:hAnsi="Verdana"/>
                            <w:sz w:val="15"/>
                            <w:szCs w:val="15"/>
                          </w:rPr>
                          <w:t>Unijuí</w:t>
                        </w:r>
                        <w:proofErr w:type="spellEnd"/>
                        <w:r>
                          <w:rPr>
                            <w:rFonts w:ascii="Verdana" w:hAnsi="Verdana"/>
                            <w:sz w:val="15"/>
                            <w:szCs w:val="15"/>
                          </w:rPr>
                          <w:t>, p. 75-92.</w:t>
                        </w:r>
                        <w:r>
                          <w:rPr>
                            <w:rFonts w:ascii="Verdana" w:hAnsi="Verdana"/>
                            <w:sz w:val="15"/>
                            <w:szCs w:val="15"/>
                          </w:rPr>
                          <w:br/>
                        </w:r>
                        <w:proofErr w:type="spellStart"/>
                        <w:r>
                          <w:rPr>
                            <w:rFonts w:ascii="Verdana" w:hAnsi="Verdana"/>
                            <w:sz w:val="15"/>
                            <w:szCs w:val="15"/>
                          </w:rPr>
                          <w:t>Goffman</w:t>
                        </w:r>
                        <w:proofErr w:type="spellEnd"/>
                        <w:r>
                          <w:rPr>
                            <w:rFonts w:ascii="Verdana" w:hAnsi="Verdana"/>
                            <w:sz w:val="15"/>
                            <w:szCs w:val="15"/>
                          </w:rPr>
                          <w:t xml:space="preserve">, E. </w:t>
                        </w:r>
                        <w:r>
                          <w:rPr>
                            <w:rStyle w:val="nfase"/>
                            <w:rFonts w:ascii="Verdana" w:hAnsi="Verdana"/>
                            <w:sz w:val="15"/>
                            <w:szCs w:val="15"/>
                          </w:rPr>
                          <w:t>O estigma: notas sobre a manipulação da identidade deteriorada.</w:t>
                        </w:r>
                        <w:r>
                          <w:rPr>
                            <w:rFonts w:ascii="Verdana" w:hAnsi="Verdana"/>
                            <w:sz w:val="15"/>
                            <w:szCs w:val="15"/>
                          </w:rPr>
                          <w:t xml:space="preserve"> 4. </w:t>
                        </w:r>
                        <w:proofErr w:type="gramStart"/>
                        <w:r>
                          <w:rPr>
                            <w:rFonts w:ascii="Verdana" w:hAnsi="Verdana"/>
                            <w:sz w:val="15"/>
                            <w:szCs w:val="15"/>
                          </w:rPr>
                          <w:t>ed.</w:t>
                        </w:r>
                        <w:proofErr w:type="gramEnd"/>
                        <w:r>
                          <w:rPr>
                            <w:rFonts w:ascii="Verdana" w:hAnsi="Verdana"/>
                            <w:sz w:val="15"/>
                            <w:szCs w:val="15"/>
                          </w:rPr>
                          <w:t xml:space="preserve"> Rio de Janeiro: LTC, 1988.</w:t>
                        </w:r>
                        <w:r>
                          <w:rPr>
                            <w:rFonts w:ascii="Verdana" w:hAnsi="Verdana"/>
                            <w:sz w:val="15"/>
                            <w:szCs w:val="15"/>
                          </w:rPr>
                          <w:br/>
                          <w:t xml:space="preserve">Gonçalves, Marina Pereira; </w:t>
                        </w:r>
                        <w:proofErr w:type="spellStart"/>
                        <w:r>
                          <w:rPr>
                            <w:rFonts w:ascii="Verdana" w:hAnsi="Verdana"/>
                            <w:sz w:val="15"/>
                            <w:szCs w:val="15"/>
                          </w:rPr>
                          <w:t>Alchieri</w:t>
                        </w:r>
                        <w:proofErr w:type="spellEnd"/>
                        <w:r>
                          <w:rPr>
                            <w:rFonts w:ascii="Verdana" w:hAnsi="Verdana"/>
                            <w:sz w:val="15"/>
                            <w:szCs w:val="15"/>
                          </w:rPr>
                          <w:t xml:space="preserve">, João Carlos. “Motivação à prática de atividades físicas: um estudo com praticantes não-atletas”. </w:t>
                        </w:r>
                        <w:proofErr w:type="spellStart"/>
                        <w:r>
                          <w:rPr>
                            <w:rStyle w:val="nfase"/>
                            <w:rFonts w:ascii="Verdana" w:hAnsi="Verdana"/>
                            <w:sz w:val="15"/>
                            <w:szCs w:val="15"/>
                          </w:rPr>
                          <w:t>Psico-</w:t>
                        </w:r>
                        <w:proofErr w:type="gramStart"/>
                        <w:r>
                          <w:rPr>
                            <w:rStyle w:val="nfase"/>
                            <w:rFonts w:ascii="Verdana" w:hAnsi="Verdana"/>
                            <w:sz w:val="15"/>
                            <w:szCs w:val="15"/>
                          </w:rPr>
                          <w:t>USF</w:t>
                        </w:r>
                        <w:proofErr w:type="spellEnd"/>
                        <w:r>
                          <w:rPr>
                            <w:rStyle w:val="nfase"/>
                            <w:rFonts w:ascii="Verdana" w:hAnsi="Verdana"/>
                            <w:sz w:val="15"/>
                            <w:szCs w:val="15"/>
                          </w:rPr>
                          <w:t>.</w:t>
                        </w:r>
                        <w:proofErr w:type="gramEnd"/>
                        <w:r>
                          <w:rPr>
                            <w:rFonts w:ascii="Verdana" w:hAnsi="Verdana"/>
                            <w:sz w:val="15"/>
                            <w:szCs w:val="15"/>
                          </w:rPr>
                          <w:t>v. 15, n. 1, p. 125-134, jan./abr. 2010.</w:t>
                        </w:r>
                        <w:r>
                          <w:rPr>
                            <w:rFonts w:ascii="Verdana" w:hAnsi="Verdana"/>
                            <w:sz w:val="15"/>
                            <w:szCs w:val="15"/>
                          </w:rPr>
                          <w:br/>
                          <w:t xml:space="preserve">Hall, </w:t>
                        </w:r>
                        <w:proofErr w:type="spellStart"/>
                        <w:r>
                          <w:rPr>
                            <w:rFonts w:ascii="Verdana" w:hAnsi="Verdana"/>
                            <w:sz w:val="15"/>
                            <w:szCs w:val="15"/>
                          </w:rPr>
                          <w:t>Rosemar</w:t>
                        </w:r>
                        <w:proofErr w:type="spellEnd"/>
                        <w:r>
                          <w:rPr>
                            <w:rFonts w:ascii="Verdana" w:hAnsi="Verdana"/>
                            <w:sz w:val="15"/>
                            <w:szCs w:val="15"/>
                          </w:rPr>
                          <w:t xml:space="preserve"> José; Lima Filho, Dario de Oliveira. “Perfil do consumidor de produtos </w:t>
                        </w:r>
                        <w:proofErr w:type="spellStart"/>
                        <w:r>
                          <w:rPr>
                            <w:rStyle w:val="nfase"/>
                            <w:rFonts w:ascii="Verdana" w:hAnsi="Verdana"/>
                            <w:sz w:val="15"/>
                            <w:szCs w:val="15"/>
                          </w:rPr>
                          <w:t>diet</w:t>
                        </w:r>
                        <w:proofErr w:type="spellEnd"/>
                        <w:r>
                          <w:rPr>
                            <w:rStyle w:val="nfase"/>
                            <w:rFonts w:ascii="Verdana" w:hAnsi="Verdana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z w:val="15"/>
                            <w:szCs w:val="15"/>
                          </w:rPr>
                          <w:t xml:space="preserve">e </w:t>
                        </w:r>
                        <w:r>
                          <w:rPr>
                            <w:rStyle w:val="nfase"/>
                            <w:rFonts w:ascii="Verdana" w:hAnsi="Verdana"/>
                            <w:sz w:val="15"/>
                            <w:szCs w:val="15"/>
                          </w:rPr>
                          <w:t xml:space="preserve">light </w:t>
                        </w:r>
                        <w:r>
                          <w:rPr>
                            <w:rFonts w:ascii="Verdana" w:hAnsi="Verdana"/>
                            <w:sz w:val="15"/>
                            <w:szCs w:val="15"/>
                          </w:rPr>
                          <w:t xml:space="preserve">no Brasil”. </w:t>
                        </w:r>
                        <w:r>
                          <w:rPr>
                            <w:rStyle w:val="nfase"/>
                            <w:rFonts w:ascii="Verdana" w:hAnsi="Verdana"/>
                            <w:sz w:val="15"/>
                            <w:szCs w:val="15"/>
                          </w:rPr>
                          <w:t xml:space="preserve">Anais do XIII SIMPEP </w:t>
                        </w:r>
                        <w:r>
                          <w:rPr>
                            <w:rFonts w:ascii="Verdana" w:hAnsi="Verdana"/>
                            <w:sz w:val="15"/>
                            <w:szCs w:val="15"/>
                          </w:rPr>
                          <w:t xml:space="preserve">- Bauru, SP, Brasil, 06 a 08 de novembro de 2006. Disponível em: </w:t>
                        </w:r>
                        <w:hyperlink r:id="rId8" w:tgtFrame="_blank" w:history="1">
                          <w:r>
                            <w:rPr>
                              <w:rStyle w:val="Hyperlink"/>
                              <w:rFonts w:ascii="Verdana" w:hAnsi="Verdana"/>
                              <w:sz w:val="15"/>
                              <w:szCs w:val="15"/>
                            </w:rPr>
                            <w:t>http://www.isa.utl.pt/daiat/INT-EngAlimentar/trabalhos%20alunos/trabalho%205%20tema%20proposto/temas%20e%20bibliografia/produtos%20light/229.pdf</w:t>
                          </w:r>
                        </w:hyperlink>
                        <w:r>
                          <w:rPr>
                            <w:rFonts w:ascii="Verdana" w:hAnsi="Verdana"/>
                            <w:sz w:val="15"/>
                            <w:szCs w:val="15"/>
                          </w:rPr>
                          <w:t>. Acesso em: 03/02/2012.</w:t>
                        </w:r>
                        <w:r>
                          <w:rPr>
                            <w:rFonts w:ascii="Verdana" w:hAnsi="Verdana"/>
                            <w:sz w:val="15"/>
                            <w:szCs w:val="15"/>
                          </w:rPr>
                          <w:br/>
                          <w:t xml:space="preserve">Sociedade Brasileira de Cirurgia Bariátrica e Metabologia – SBCBM. </w:t>
                        </w:r>
                        <w:r>
                          <w:rPr>
                            <w:rStyle w:val="nfase"/>
                            <w:rFonts w:ascii="Verdana" w:hAnsi="Verdana"/>
                            <w:sz w:val="15"/>
                            <w:szCs w:val="15"/>
                          </w:rPr>
                          <w:t xml:space="preserve">Número de cirurgias bariátricas realizadas no Brasil. </w:t>
                        </w:r>
                        <w:r>
                          <w:rPr>
                            <w:rFonts w:ascii="Verdana" w:hAnsi="Verdana"/>
                            <w:sz w:val="15"/>
                            <w:szCs w:val="15"/>
                          </w:rPr>
                          <w:t xml:space="preserve">Disponível em: </w:t>
                        </w:r>
                        <w:hyperlink r:id="rId9" w:tgtFrame="_blank" w:history="1">
                          <w:r>
                            <w:rPr>
                              <w:rStyle w:val="Hyperlink"/>
                              <w:rFonts w:ascii="Verdana" w:hAnsi="Verdana"/>
                              <w:sz w:val="15"/>
                              <w:szCs w:val="15"/>
                            </w:rPr>
                            <w:t>http://www.sbcb.org.br/imprensa.asp?menu=3</w:t>
                          </w:r>
                        </w:hyperlink>
                        <w:r>
                          <w:rPr>
                            <w:rFonts w:ascii="Verdana" w:hAnsi="Verdana"/>
                            <w:sz w:val="15"/>
                            <w:szCs w:val="15"/>
                          </w:rPr>
                          <w:t xml:space="preserve">. Acesso em: 03/02/2013. </w:t>
                        </w:r>
                      </w:p>
                    </w:tc>
                  </w:tr>
                </w:tbl>
                <w:p w:rsidR="000929BF" w:rsidRDefault="000929BF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929BF" w:rsidRDefault="000929BF">
            <w:pPr>
              <w:rPr>
                <w:sz w:val="24"/>
                <w:szCs w:val="24"/>
              </w:rPr>
            </w:pPr>
          </w:p>
        </w:tc>
      </w:tr>
    </w:tbl>
    <w:p w:rsidR="00EB46D1" w:rsidRDefault="00EB46D1"/>
    <w:sectPr w:rsidR="00EB46D1" w:rsidSect="000929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929BF"/>
    <w:rsid w:val="000929BF"/>
    <w:rsid w:val="000E29B3"/>
    <w:rsid w:val="00140D67"/>
    <w:rsid w:val="0069793C"/>
    <w:rsid w:val="00824337"/>
    <w:rsid w:val="00CA248C"/>
    <w:rsid w:val="00DD346B"/>
    <w:rsid w:val="00DE2654"/>
    <w:rsid w:val="00EB4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9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929B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92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0929BF"/>
    <w:rPr>
      <w:i/>
      <w:iCs/>
    </w:rPr>
  </w:style>
  <w:style w:type="character" w:styleId="Forte">
    <w:name w:val="Strong"/>
    <w:basedOn w:val="Fontepargpadro"/>
    <w:uiPriority w:val="22"/>
    <w:qFormat/>
    <w:rsid w:val="000929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a.utl.pt/daiat/INT-EngAlimentar/trabalhos%20alunos/trabalho%205%20tema%20proposto/temas%20e%20bibliografia/produtos%20light/229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onsumidormoderno.uol.com.br/na-pele-do-consumidor/mercado-n-o-esta-preparado-para-suprir-consumidores-de-diet-e-ligh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nsumidormoderno.uol.com.br/na-pele-do-consumidor/mercado-n-o-esta-preparado-para-suprir-consumidores-de-diet-e-ligh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fef.org.br/extra/revistaef/arquivos/2004/N11_MAR%C3%87O/08_LANCAMENTO_DO_ATLAS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consumidormoderno.uol.com.br/" TargetMode="External"/><Relationship Id="rId9" Type="http://schemas.openxmlformats.org/officeDocument/2006/relationships/hyperlink" Target="http://www.sbcb.org.br/imprensa.asp?menu=3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2057</Words>
  <Characters>11112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LUCAS</cp:lastModifiedBy>
  <cp:revision>4</cp:revision>
  <dcterms:created xsi:type="dcterms:W3CDTF">2013-02-24T15:51:00Z</dcterms:created>
  <dcterms:modified xsi:type="dcterms:W3CDTF">2013-07-22T02:09:00Z</dcterms:modified>
</cp:coreProperties>
</file>